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903D4" w14:textId="0BA444D7" w:rsidR="00C17D40" w:rsidRDefault="00091F5A">
      <w:r>
        <w:t>24 novembre</w:t>
      </w:r>
    </w:p>
    <w:p w14:paraId="37F1A6A0" w14:textId="4C921CA5" w:rsidR="00091F5A" w:rsidRDefault="00091F5A"/>
    <w:p w14:paraId="1C61BB96" w14:textId="13B02EDF" w:rsidR="00091F5A" w:rsidRDefault="00091F5A">
      <w:r>
        <w:t xml:space="preserve">Jour de naissance de </w:t>
      </w:r>
      <w:r w:rsidRPr="00091F5A">
        <w:t>Gerhard Gentzen</w:t>
      </w:r>
    </w:p>
    <w:p w14:paraId="2A973604" w14:textId="05FFF772" w:rsidR="00091F5A" w:rsidRDefault="00091F5A"/>
    <w:p w14:paraId="47C49409" w14:textId="4B547F22" w:rsidR="00091F5A" w:rsidRDefault="00091F5A">
      <w:r>
        <w:rPr>
          <w:noProof/>
        </w:rPr>
        <w:drawing>
          <wp:anchor distT="0" distB="0" distL="114300" distR="114300" simplePos="0" relativeHeight="251658240" behindDoc="0" locked="0" layoutInCell="1" allowOverlap="1" wp14:anchorId="791349DC" wp14:editId="7628EDC3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356616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091F5A">
          <w:rPr>
            <w:rStyle w:val="Lienhypertexte"/>
            <w:b/>
            <w:bCs/>
          </w:rPr>
          <w:t>Gerhard Gentzen</w:t>
        </w:r>
      </w:hyperlink>
      <w:r>
        <w:t xml:space="preserve"> (24 novembre 1909 à </w:t>
      </w:r>
      <w:r w:rsidRPr="00091F5A">
        <w:t>Greifswald</w:t>
      </w:r>
      <w:r>
        <w:t xml:space="preserve"> - 4 août 1945 à </w:t>
      </w:r>
      <w:r w:rsidRPr="00091F5A">
        <w:t>Prague</w:t>
      </w:r>
      <w:r>
        <w:t xml:space="preserve">) est un </w:t>
      </w:r>
      <w:r w:rsidRPr="00091F5A">
        <w:t>mathématicien</w:t>
      </w:r>
      <w:r>
        <w:t xml:space="preserve"> et </w:t>
      </w:r>
      <w:r w:rsidRPr="00091F5A">
        <w:t>logicien</w:t>
      </w:r>
      <w:r>
        <w:t xml:space="preserve"> </w:t>
      </w:r>
      <w:r w:rsidRPr="00091F5A">
        <w:t>allemand</w:t>
      </w:r>
      <w:r>
        <w:t xml:space="preserve">, dont l'œuvre est fondamentale en </w:t>
      </w:r>
      <w:r w:rsidRPr="00091F5A">
        <w:t>théorie de la démonstration</w:t>
      </w:r>
      <w:r>
        <w:t xml:space="preserve">. Il fut l’un des étudiants de </w:t>
      </w:r>
      <w:hyperlink r:id="rId6" w:tooltip="Hermann Weyl" w:history="1">
        <w:r>
          <w:rPr>
            <w:rStyle w:val="Lienhypertexte"/>
          </w:rPr>
          <w:t>Weyl</w:t>
        </w:r>
      </w:hyperlink>
      <w:r>
        <w:t xml:space="preserve"> à l'</w:t>
      </w:r>
      <w:r w:rsidRPr="00091F5A">
        <w:t>université de Göttingen</w:t>
      </w:r>
      <w:r>
        <w:t xml:space="preserve"> de 1929 à 1933. Il est mort dans un camp de </w:t>
      </w:r>
      <w:r w:rsidRPr="00091F5A">
        <w:t>prisonniers de guerre</w:t>
      </w:r>
      <w:r>
        <w:t xml:space="preserve"> en 1945, après avoir été arrêté par les </w:t>
      </w:r>
      <w:r w:rsidRPr="00091F5A">
        <w:t>soviets</w:t>
      </w:r>
      <w:r>
        <w:t xml:space="preserve"> à cause de ses loyautés </w:t>
      </w:r>
      <w:r w:rsidRPr="00091F5A">
        <w:t>nazies</w:t>
      </w:r>
      <w:r>
        <w:t>.</w:t>
      </w:r>
      <w:r w:rsidRPr="00091F5A">
        <w:t xml:space="preserve"> </w:t>
      </w:r>
    </w:p>
    <w:sectPr w:rsidR="00091F5A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F5A"/>
    <w:rsid w:val="00091F5A"/>
    <w:rsid w:val="00232F19"/>
    <w:rsid w:val="00287E6C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CDEE"/>
  <w15:chartTrackingRefBased/>
  <w15:docId w15:val="{76AB651D-2274-4406-A035-0C3007FD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91F5A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1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Hermann_Weyl" TargetMode="External"/><Relationship Id="rId5" Type="http://schemas.openxmlformats.org/officeDocument/2006/relationships/hyperlink" Target="https://fr.wikipedia.org/wiki/Gerhard_Gentze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489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2020-12-31T12:22:00Z</dcterms:created>
  <dcterms:modified xsi:type="dcterms:W3CDTF">2020-12-31T12:23:00Z</dcterms:modified>
</cp:coreProperties>
</file>